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B73F44">
        <w:rPr>
          <w:b/>
          <w:bCs/>
        </w:rPr>
        <w:t>30</w:t>
      </w:r>
      <w:r w:rsidR="00046EDC">
        <w:rPr>
          <w:b/>
          <w:bCs/>
        </w:rPr>
        <w:t>.</w:t>
      </w:r>
      <w:r w:rsidR="00B73F44">
        <w:rPr>
          <w:b/>
          <w:bCs/>
        </w:rPr>
        <w:t>12</w:t>
      </w:r>
      <w:r w:rsidR="00046EDC">
        <w:rPr>
          <w:b/>
          <w:bCs/>
        </w:rPr>
        <w:t>.201</w:t>
      </w:r>
      <w:r w:rsidR="00D26A3F">
        <w:rPr>
          <w:b/>
          <w:bCs/>
        </w:rPr>
        <w:t>9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B73F44">
        <w:rPr>
          <w:sz w:val="23"/>
          <w:szCs w:val="23"/>
        </w:rPr>
        <w:t>31</w:t>
      </w:r>
      <w:r>
        <w:rPr>
          <w:sz w:val="23"/>
          <w:szCs w:val="23"/>
        </w:rPr>
        <w:t xml:space="preserve">» </w:t>
      </w:r>
      <w:r w:rsidR="00B73F44">
        <w:rPr>
          <w:sz w:val="23"/>
          <w:szCs w:val="23"/>
        </w:rPr>
        <w:t>декабря</w:t>
      </w:r>
      <w:r>
        <w:rPr>
          <w:sz w:val="23"/>
          <w:szCs w:val="23"/>
        </w:rPr>
        <w:t xml:space="preserve"> 201</w:t>
      </w:r>
      <w:r w:rsidR="00D26A3F">
        <w:rPr>
          <w:sz w:val="23"/>
          <w:szCs w:val="23"/>
        </w:rPr>
        <w:t>9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BA0909">
        <w:rPr>
          <w:b/>
          <w:sz w:val="23"/>
          <w:szCs w:val="23"/>
        </w:rPr>
        <w:t>30</w:t>
      </w:r>
      <w:r w:rsidRPr="00046EDC">
        <w:rPr>
          <w:b/>
          <w:sz w:val="23"/>
          <w:szCs w:val="23"/>
        </w:rPr>
        <w:t xml:space="preserve">» </w:t>
      </w:r>
      <w:r w:rsidR="00B73F44">
        <w:rPr>
          <w:b/>
          <w:sz w:val="23"/>
          <w:szCs w:val="23"/>
        </w:rPr>
        <w:t>января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20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B73F44">
        <w:rPr>
          <w:b/>
          <w:sz w:val="23"/>
          <w:szCs w:val="23"/>
        </w:rPr>
        <w:t>30</w:t>
      </w:r>
      <w:r w:rsidRPr="006547D5">
        <w:rPr>
          <w:b/>
          <w:sz w:val="23"/>
          <w:szCs w:val="23"/>
        </w:rPr>
        <w:t>»</w:t>
      </w:r>
      <w:r w:rsidR="00682D1C">
        <w:rPr>
          <w:b/>
          <w:sz w:val="23"/>
          <w:szCs w:val="23"/>
        </w:rPr>
        <w:t xml:space="preserve"> </w:t>
      </w:r>
      <w:r w:rsidR="00B73F44">
        <w:rPr>
          <w:b/>
          <w:sz w:val="23"/>
          <w:szCs w:val="23"/>
        </w:rPr>
        <w:t>января</w:t>
      </w:r>
      <w:r w:rsidRPr="006547D5">
        <w:rPr>
          <w:b/>
          <w:sz w:val="23"/>
          <w:szCs w:val="23"/>
        </w:rPr>
        <w:t xml:space="preserve"> 20</w:t>
      </w:r>
      <w:r w:rsidR="00BA0909">
        <w:rPr>
          <w:b/>
          <w:sz w:val="23"/>
          <w:szCs w:val="23"/>
        </w:rPr>
        <w:t>20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2E0D79">
        <w:rPr>
          <w:b/>
          <w:sz w:val="23"/>
          <w:szCs w:val="23"/>
        </w:rPr>
        <w:t>3</w:t>
      </w:r>
      <w:r w:rsidR="00B73F44">
        <w:rPr>
          <w:b/>
          <w:sz w:val="23"/>
          <w:szCs w:val="23"/>
        </w:rPr>
        <w:t>1</w:t>
      </w:r>
      <w:r w:rsidRPr="00046EDC">
        <w:rPr>
          <w:b/>
          <w:sz w:val="23"/>
          <w:szCs w:val="23"/>
        </w:rPr>
        <w:t xml:space="preserve">» </w:t>
      </w:r>
      <w:r w:rsidR="00B73F44">
        <w:rPr>
          <w:b/>
          <w:sz w:val="23"/>
          <w:szCs w:val="23"/>
        </w:rPr>
        <w:t>января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2E0D79">
        <w:rPr>
          <w:b/>
          <w:sz w:val="23"/>
          <w:szCs w:val="23"/>
        </w:rPr>
        <w:t>3</w:t>
      </w:r>
      <w:r w:rsidR="00B73F44">
        <w:rPr>
          <w:b/>
          <w:sz w:val="23"/>
          <w:szCs w:val="23"/>
        </w:rPr>
        <w:t>1</w:t>
      </w:r>
      <w:r w:rsidR="00682D1C">
        <w:rPr>
          <w:b/>
          <w:sz w:val="23"/>
          <w:szCs w:val="23"/>
        </w:rPr>
        <w:t xml:space="preserve">» </w:t>
      </w:r>
      <w:r w:rsidR="00B73F44">
        <w:rPr>
          <w:b/>
          <w:sz w:val="23"/>
          <w:szCs w:val="23"/>
        </w:rPr>
        <w:t>января</w:t>
      </w:r>
      <w:r w:rsidR="002E0D79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bookmarkStart w:id="0" w:name="_GoBack"/>
      <w:bookmarkEnd w:id="0"/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2E0D79">
        <w:rPr>
          <w:b/>
          <w:sz w:val="23"/>
          <w:szCs w:val="23"/>
        </w:rPr>
        <w:t>местное время</w:t>
      </w:r>
      <w:r w:rsidR="00787B25" w:rsidRPr="009F0BFA">
        <w:rPr>
          <w:b/>
          <w:sz w:val="23"/>
          <w:szCs w:val="23"/>
        </w:rPr>
        <w:t>).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B36DBF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</w:t>
      </w:r>
      <w:r w:rsidR="004F64CA" w:rsidRPr="00544C2E">
        <w:rPr>
          <w:rFonts w:ascii="Times New Roman" w:hAnsi="Times New Roman" w:cs="Times New Roman"/>
          <w:sz w:val="24"/>
          <w:szCs w:val="24"/>
        </w:rPr>
        <w:lastRenderedPageBreak/>
        <w:t>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B0F53"/>
    <w:rsid w:val="000D0DF6"/>
    <w:rsid w:val="0016167A"/>
    <w:rsid w:val="00165438"/>
    <w:rsid w:val="00242ACE"/>
    <w:rsid w:val="002C53D1"/>
    <w:rsid w:val="002E0D79"/>
    <w:rsid w:val="00381317"/>
    <w:rsid w:val="00385793"/>
    <w:rsid w:val="003A5893"/>
    <w:rsid w:val="003B648E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D032B"/>
    <w:rsid w:val="00B16D82"/>
    <w:rsid w:val="00B36DBF"/>
    <w:rsid w:val="00B61110"/>
    <w:rsid w:val="00B73F44"/>
    <w:rsid w:val="00B92CBF"/>
    <w:rsid w:val="00BA0909"/>
    <w:rsid w:val="00BA43D4"/>
    <w:rsid w:val="00BD2C2C"/>
    <w:rsid w:val="00C03285"/>
    <w:rsid w:val="00C3456D"/>
    <w:rsid w:val="00CA14BC"/>
    <w:rsid w:val="00D26A3F"/>
    <w:rsid w:val="00D82D02"/>
    <w:rsid w:val="00DB1C44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E256-2A5C-4559-BDE5-398EDF33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24</cp:revision>
  <cp:lastPrinted>2019-04-29T08:40:00Z</cp:lastPrinted>
  <dcterms:created xsi:type="dcterms:W3CDTF">2018-01-22T11:07:00Z</dcterms:created>
  <dcterms:modified xsi:type="dcterms:W3CDTF">2019-12-27T12:02:00Z</dcterms:modified>
</cp:coreProperties>
</file>